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86" w:rsidRDefault="00461B01" w:rsidP="00B14EB6">
      <w:pPr>
        <w:widowControl w:val="0"/>
        <w:autoSpaceDE w:val="0"/>
        <w:autoSpaceDN w:val="0"/>
        <w:adjustRightInd w:val="0"/>
        <w:spacing w:after="0" w:line="240" w:lineRule="auto"/>
        <w:ind w:left="1200"/>
        <w:rPr>
          <w:rFonts w:ascii="Times New Roman" w:hAnsi="Times New Roman"/>
          <w:sz w:val="24"/>
          <w:szCs w:val="24"/>
        </w:rPr>
      </w:pPr>
      <w:r>
        <w:rPr>
          <w:rFonts w:ascii="Arial" w:hAnsi="Arial" w:cs="Arial"/>
          <w:b/>
          <w:bCs/>
          <w:sz w:val="24"/>
          <w:szCs w:val="24"/>
          <w:u w:val="single"/>
        </w:rPr>
        <w:t xml:space="preserve">Policy </w:t>
      </w:r>
      <w:proofErr w:type="gramStart"/>
      <w:r>
        <w:rPr>
          <w:rFonts w:ascii="Arial" w:hAnsi="Arial" w:cs="Arial"/>
          <w:b/>
          <w:bCs/>
          <w:sz w:val="24"/>
          <w:szCs w:val="24"/>
          <w:u w:val="single"/>
        </w:rPr>
        <w:t>On</w:t>
      </w:r>
      <w:proofErr w:type="gramEnd"/>
      <w:r>
        <w:rPr>
          <w:rFonts w:ascii="Arial" w:hAnsi="Arial" w:cs="Arial"/>
          <w:b/>
          <w:bCs/>
          <w:sz w:val="24"/>
          <w:szCs w:val="24"/>
          <w:u w:val="single"/>
        </w:rPr>
        <w:t xml:space="preserve"> Collection Of Dues &amp; Repossession Of Security</w:t>
      </w:r>
    </w:p>
    <w:p w:rsidR="00841286" w:rsidRDefault="00841286" w:rsidP="00B14EB6">
      <w:pPr>
        <w:widowControl w:val="0"/>
        <w:autoSpaceDE w:val="0"/>
        <w:autoSpaceDN w:val="0"/>
        <w:adjustRightInd w:val="0"/>
        <w:spacing w:after="0" w:line="240" w:lineRule="auto"/>
        <w:rPr>
          <w:rFonts w:ascii="Times New Roman" w:hAnsi="Times New Roman"/>
          <w:sz w:val="24"/>
          <w:szCs w:val="24"/>
        </w:rPr>
      </w:pPr>
    </w:p>
    <w:p w:rsidR="00841286" w:rsidRDefault="00461B01" w:rsidP="00B14EB6">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b/>
          <w:bCs/>
          <w:sz w:val="24"/>
          <w:szCs w:val="24"/>
          <w:u w:val="single"/>
        </w:rPr>
        <w:t xml:space="preserve">Introduction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The debt collection policy of the Bank is built around dignity and respect to customers. Bank will not follow policies that are unduly coercive in collection of dues. The policy is built on courtesy, fair treatment and persuasion. The Bank believes in following fair practices with regard to collection of dues and repossession of security and thereby fostering customer confidence and long-term relationship.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The repayment schedule for any loan sanctioned by the Bank will be fixed taking into account your paying capacity and cash flow pattern. The Bank will explain to you upfront the method of calculation of interest and how the Equated Monthly Installments (EMI) or payments through any other mode of repayment will be appropriated against interest and principal due from you. The Bank would expect you to adhere to the repayment schedule agreed to and approach the Bank for assistance and guidance in case of genuine difficulty in meeting repayment obligations.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Bank’s security repossession policy aims at recovery of dues in the event of default and is not aimed at whimsical deprivation of the property. The security repossession procedure would be set in motion only after all attempts by the Bank to discuss with you the ways and means to overcome the financial hurdles have failed. The policy recognizes fairness and transparency in repossession, valuation and realization of security. All the practices adopted by the Bank for follow up and recovery of dues and repossession of security will be inconsonance with the law.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b/>
          <w:bCs/>
          <w:sz w:val="24"/>
          <w:szCs w:val="24"/>
          <w:u w:val="single"/>
        </w:rPr>
        <w:t xml:space="preserve">General Guidelines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All the members of the staff or any person authorized to represent our Bank in collection or/and security repossession would follow the guidelines set out below: </w:t>
      </w:r>
    </w:p>
    <w:p w:rsidR="00841286" w:rsidRDefault="00461B01" w:rsidP="00B14EB6">
      <w:pPr>
        <w:widowControl w:val="0"/>
        <w:numPr>
          <w:ilvl w:val="1"/>
          <w:numId w:val="1"/>
        </w:numPr>
        <w:tabs>
          <w:tab w:val="clear" w:pos="1440"/>
          <w:tab w:val="num" w:pos="1080"/>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You would be contacted ordinarily at the place of your choice and in the absence of any specified place, at the place of your residence and if unavailable at your residence, at the place of business/occupation.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1"/>
        </w:numPr>
        <w:tabs>
          <w:tab w:val="clear" w:pos="1440"/>
          <w:tab w:val="num" w:pos="1080"/>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Identity and authority of persons authorized to represent Bank for follow up and recovery of dues would be made known to you at the first instance. The Bank staff or any persons authorized to represent the Bank in collection of dues or / and security repossession will identify himself / herself and display the authority letter issued by the Bank upon request.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1"/>
        </w:numPr>
        <w:tabs>
          <w:tab w:val="clear" w:pos="1440"/>
          <w:tab w:val="num" w:pos="1080"/>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The Bank would respect your privacy.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1"/>
        </w:numPr>
        <w:tabs>
          <w:tab w:val="clear" w:pos="1440"/>
          <w:tab w:val="num" w:pos="1079"/>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The Bank is committed to ensure that all written and verbal communication with you will be in simple business language and Bank will adopt civil manners for interaction with borrowers. </w:t>
      </w:r>
    </w:p>
    <w:p w:rsidR="00841286" w:rsidRDefault="00841286" w:rsidP="00B14EB6">
      <w:pPr>
        <w:widowControl w:val="0"/>
        <w:autoSpaceDE w:val="0"/>
        <w:autoSpaceDN w:val="0"/>
        <w:adjustRightInd w:val="0"/>
        <w:spacing w:after="0" w:line="240" w:lineRule="auto"/>
        <w:rPr>
          <w:rFonts w:ascii="Times New Roman" w:hAnsi="Times New Roman"/>
          <w:sz w:val="24"/>
          <w:szCs w:val="24"/>
        </w:rPr>
        <w:sectPr w:rsidR="00841286" w:rsidSect="009063F8">
          <w:pgSz w:w="12240" w:h="15840"/>
          <w:pgMar w:top="720" w:right="1440" w:bottom="720" w:left="1440" w:header="720" w:footer="720" w:gutter="0"/>
          <w:cols w:space="720" w:equalWidth="0">
            <w:col w:w="9360"/>
          </w:cols>
          <w:noEndnote/>
        </w:sectPr>
      </w:pPr>
    </w:p>
    <w:p w:rsidR="00841286" w:rsidRDefault="00461B01" w:rsidP="00B14EB6">
      <w:pPr>
        <w:widowControl w:val="0"/>
        <w:numPr>
          <w:ilvl w:val="1"/>
          <w:numId w:val="2"/>
        </w:numPr>
        <w:tabs>
          <w:tab w:val="clear" w:pos="1440"/>
          <w:tab w:val="num" w:pos="1079"/>
        </w:tabs>
        <w:overflowPunct w:val="0"/>
        <w:autoSpaceDE w:val="0"/>
        <w:autoSpaceDN w:val="0"/>
        <w:adjustRightInd w:val="0"/>
        <w:spacing w:after="0" w:line="240" w:lineRule="auto"/>
        <w:ind w:left="1080" w:hanging="720"/>
        <w:jc w:val="both"/>
        <w:rPr>
          <w:rFonts w:ascii="Arial" w:hAnsi="Arial" w:cs="Arial"/>
          <w:sz w:val="24"/>
          <w:szCs w:val="24"/>
        </w:rPr>
      </w:pPr>
      <w:bookmarkStart w:id="0" w:name="page5"/>
      <w:bookmarkEnd w:id="0"/>
      <w:r>
        <w:rPr>
          <w:rFonts w:ascii="Arial" w:hAnsi="Arial" w:cs="Arial"/>
          <w:sz w:val="24"/>
          <w:szCs w:val="24"/>
        </w:rPr>
        <w:lastRenderedPageBreak/>
        <w:t xml:space="preserve">Normally the Bank’s representatives will contact you between 0700 hrs and 1900 hrs, unless the special circumstance of your business or occupation requires the Bank to contact at a different time.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2"/>
        </w:numPr>
        <w:tabs>
          <w:tab w:val="clear" w:pos="1440"/>
          <w:tab w:val="num" w:pos="1079"/>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Your request to avoid calls at a particular time or at a particular place would be </w:t>
      </w:r>
      <w:proofErr w:type="spellStart"/>
      <w:r>
        <w:rPr>
          <w:rFonts w:ascii="Arial" w:hAnsi="Arial" w:cs="Arial"/>
          <w:sz w:val="24"/>
          <w:szCs w:val="24"/>
        </w:rPr>
        <w:t>honoured</w:t>
      </w:r>
      <w:proofErr w:type="spellEnd"/>
      <w:r>
        <w:rPr>
          <w:rFonts w:ascii="Arial" w:hAnsi="Arial" w:cs="Arial"/>
          <w:sz w:val="24"/>
          <w:szCs w:val="24"/>
        </w:rPr>
        <w:t xml:space="preserve"> as far as possible.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2"/>
        </w:numPr>
        <w:tabs>
          <w:tab w:val="clear" w:pos="1440"/>
          <w:tab w:val="num" w:pos="1080"/>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The Bank will document the efforts made for the recovery of dues and the copies of communication sent to you, if any, will be kept on record.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2"/>
        </w:numPr>
        <w:tabs>
          <w:tab w:val="clear" w:pos="1440"/>
          <w:tab w:val="num" w:pos="1081"/>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All assistance will be given to resolve disputes or differences regarding dues in a mutually acceptable and in an orderly manner.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2"/>
        </w:numPr>
        <w:tabs>
          <w:tab w:val="clear" w:pos="1440"/>
          <w:tab w:val="num" w:pos="1081"/>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Inappropriate occasions such as bereavement in the family or such other calamitous occasions will be avoided for making calls / visits to collect dues.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b/>
          <w:bCs/>
          <w:sz w:val="24"/>
          <w:szCs w:val="24"/>
          <w:u w:val="single"/>
        </w:rPr>
        <w:t xml:space="preserve">Giving notice to the borrowers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While written communications, telephonic reminders or visits by the Bank’s representatives to your place or residence will be used as loan follow up measures, the Bank will not initiate any legal or other recovery measures including repossession of the security without giving due notice in writing. The notice shall be given by Registered Post with Acknowledgement Due. Any genuine difficulties expressed/disputes raised by you will be considered. However, where the Bank has reasons to believe that you are avoiding acknowledgement, it will follow all such procedures as required under law for recovery / repossession of security.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b/>
          <w:bCs/>
          <w:sz w:val="24"/>
          <w:szCs w:val="24"/>
          <w:u w:val="single"/>
        </w:rPr>
        <w:t xml:space="preserve">Repossession of security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Repossession of security is aimed at recovery of dues and not to deprive you of the property. The recovery process through repossession of security will involve repossession, valuation of security and realization of security through appropriate means. All these would be carried out in a fair and transparent manner. Repossession will be done only after issuing the notice as detailed above. Due process of law will be followed while taking repossession of the property. The </w:t>
      </w: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Bank will take all reasonable care for ensuring the safety and security of the property after taking custody, in the ordinary course of the business and necessary cost will be charged to you.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b/>
          <w:bCs/>
          <w:sz w:val="24"/>
          <w:szCs w:val="24"/>
          <w:u w:val="single"/>
        </w:rPr>
        <w:t xml:space="preserve">Valuation and sale of property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Valuation and sale of property repossessed by the Bank will be carried out as per law and in a fair and transparent manner. The Bank will have right to recover from the borrower the balance due if any, after sale of property. Excess amount if any, obtained on sale of property will be returned to you after meeting all the related expenses, provided the Bank is not having any other claims against you.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9063F8">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Arial" w:hAnsi="Arial" w:cs="Arial"/>
          <w:sz w:val="24"/>
          <w:szCs w:val="24"/>
        </w:rPr>
        <w:t xml:space="preserve">In the case of hypothecated assets after taking possession if no payment is forthcoming, a Sale Notice of 7 </w:t>
      </w:r>
      <w:r w:rsidR="009063F8">
        <w:rPr>
          <w:rFonts w:ascii="Arial" w:hAnsi="Arial" w:cs="Arial"/>
          <w:sz w:val="24"/>
          <w:szCs w:val="24"/>
        </w:rPr>
        <w:t>days’ time</w:t>
      </w:r>
      <w:r>
        <w:rPr>
          <w:rFonts w:ascii="Arial" w:hAnsi="Arial" w:cs="Arial"/>
          <w:sz w:val="24"/>
          <w:szCs w:val="24"/>
        </w:rPr>
        <w:t xml:space="preserve"> to respond will be sent to you. Thereafter the Bank will arrange for the sale of the hypothecated assets in such a manner as deemed fit by the Bank. In respect of cases under S</w:t>
      </w:r>
      <w:bookmarkStart w:id="1" w:name="_GoBack"/>
      <w:bookmarkEnd w:id="1"/>
      <w:r>
        <w:rPr>
          <w:rFonts w:ascii="Arial" w:hAnsi="Arial" w:cs="Arial"/>
          <w:sz w:val="24"/>
          <w:szCs w:val="24"/>
        </w:rPr>
        <w:t>ARFAESI Act as per the provisions of the Act, 30 days’ notice of sale will be sent. When public</w:t>
      </w:r>
      <w:bookmarkStart w:id="2" w:name="page7"/>
      <w:bookmarkEnd w:id="2"/>
      <w:r>
        <w:rPr>
          <w:rFonts w:ascii="Arial" w:hAnsi="Arial" w:cs="Arial"/>
          <w:sz w:val="24"/>
          <w:szCs w:val="24"/>
        </w:rPr>
        <w:t>auction or by tender is envisaged, the same will be published in two leading newspapers, out of which one is in local vernacular paper.</w:t>
      </w:r>
    </w:p>
    <w:p w:rsidR="00841286" w:rsidRDefault="00841286" w:rsidP="00B14EB6">
      <w:pPr>
        <w:widowControl w:val="0"/>
        <w:autoSpaceDE w:val="0"/>
        <w:autoSpaceDN w:val="0"/>
        <w:adjustRightInd w:val="0"/>
        <w:spacing w:after="0" w:line="240" w:lineRule="auto"/>
        <w:rPr>
          <w:rFonts w:ascii="Times New Roman" w:hAnsi="Times New Roman"/>
          <w:sz w:val="24"/>
          <w:szCs w:val="24"/>
        </w:rPr>
      </w:pPr>
    </w:p>
    <w:p w:rsidR="00841286" w:rsidRDefault="00461B01" w:rsidP="00B14EB6">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b/>
          <w:bCs/>
          <w:sz w:val="24"/>
          <w:szCs w:val="24"/>
          <w:u w:val="single"/>
        </w:rPr>
        <w:t xml:space="preserve">Opportunity for the borrower to take back the security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As indicated earlier in the policy document, the Bank will resort to repossession of security only for purpose of realization of its dues as the last resort and not with intention of depriving you of the property. Accordingly the Bank will be willing to consider handing over possession of property to you any time after repossession and before sale transaction of the property takes place, provided the Bank dues are cleared in full. If satisfied with the genuineness of your inability to pay the loan installments as per the schedule which resulted in the repossession of security, the Bank may consider handing over the property after receiving the installments in arrears. However, this would be subject to the Bank being convinced of the arrangement made by you to ensure timely repayment of remaining installments in future. If the amounts are repaid, either as stipulated by the Bank or dues settled as agreed to by the Bank, possession of seized assets will be handed back to </w:t>
      </w:r>
      <w:r>
        <w:rPr>
          <w:rFonts w:ascii="Arial" w:hAnsi="Arial" w:cs="Arial"/>
          <w:sz w:val="21"/>
          <w:szCs w:val="21"/>
        </w:rPr>
        <w:t>you/person concerned</w:t>
      </w:r>
      <w:r>
        <w:rPr>
          <w:rFonts w:ascii="Arial" w:hAnsi="Arial" w:cs="Arial"/>
          <w:sz w:val="24"/>
          <w:szCs w:val="24"/>
        </w:rPr>
        <w:t xml:space="preserve"> within 7 days after date of permission from competent authority of the Bank or court/DRT concerned if recovery proceedings are filed and pending before such forums.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u w:val="single"/>
        </w:rPr>
        <w:t xml:space="preserve">Engagement of Recovery Agents </w:t>
      </w:r>
    </w:p>
    <w:p w:rsidR="00841286" w:rsidRDefault="00841286" w:rsidP="00B14EB6">
      <w:pPr>
        <w:widowControl w:val="0"/>
        <w:autoSpaceDE w:val="0"/>
        <w:autoSpaceDN w:val="0"/>
        <w:adjustRightInd w:val="0"/>
        <w:spacing w:after="0" w:line="240" w:lineRule="auto"/>
        <w:rPr>
          <w:rFonts w:ascii="Arial" w:hAnsi="Arial" w:cs="Arial"/>
          <w:b/>
          <w:bCs/>
          <w:sz w:val="24"/>
          <w:szCs w:val="24"/>
        </w:rPr>
      </w:pPr>
    </w:p>
    <w:p w:rsidR="00841286" w:rsidRDefault="00461B01" w:rsidP="00B14EB6">
      <w:pPr>
        <w:widowControl w:val="0"/>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sz w:val="24"/>
          <w:szCs w:val="24"/>
        </w:rPr>
        <w:t xml:space="preserve">The Bank may utilize the services of Recovery Agents for collection of dues and repossession of securities. Recovery Agents will be appointed as per regulatory guidelines issued in this regard. In this respect: </w:t>
      </w:r>
    </w:p>
    <w:p w:rsidR="00841286" w:rsidRDefault="00841286" w:rsidP="00B14EB6">
      <w:pPr>
        <w:widowControl w:val="0"/>
        <w:autoSpaceDE w:val="0"/>
        <w:autoSpaceDN w:val="0"/>
        <w:adjustRightInd w:val="0"/>
        <w:spacing w:after="0" w:line="240" w:lineRule="auto"/>
        <w:rPr>
          <w:rFonts w:ascii="Arial" w:hAnsi="Arial" w:cs="Arial"/>
          <w:b/>
          <w:bCs/>
          <w:sz w:val="24"/>
          <w:szCs w:val="24"/>
        </w:rPr>
      </w:pPr>
    </w:p>
    <w:p w:rsidR="00841286" w:rsidRDefault="00461B01" w:rsidP="00B14EB6">
      <w:pPr>
        <w:widowControl w:val="0"/>
        <w:numPr>
          <w:ilvl w:val="1"/>
          <w:numId w:val="4"/>
        </w:numPr>
        <w:tabs>
          <w:tab w:val="clear" w:pos="1440"/>
          <w:tab w:val="num" w:pos="719"/>
        </w:tabs>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The name and address of all the Recovery Agents on the Bank’s approved panel will be placed on the Bank’s website for information of all the concerned.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Recovery Agents from the approved panel only will be engaged by the Bank.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In case Bank engages service of such recovery/enforcement/seizure agent for any recovery case, the identity of the agent will be disclosed to you. </w:t>
      </w:r>
    </w:p>
    <w:p w:rsidR="00841286" w:rsidRDefault="00841286" w:rsidP="00B14EB6">
      <w:pPr>
        <w:widowControl w:val="0"/>
        <w:autoSpaceDE w:val="0"/>
        <w:autoSpaceDN w:val="0"/>
        <w:adjustRightInd w:val="0"/>
        <w:spacing w:after="0" w:line="240" w:lineRule="auto"/>
        <w:rPr>
          <w:rFonts w:ascii="Arial" w:hAnsi="Arial" w:cs="Arial"/>
          <w:sz w:val="24"/>
          <w:szCs w:val="24"/>
        </w:rPr>
      </w:pPr>
    </w:p>
    <w:p w:rsidR="00841286" w:rsidRDefault="00461B01" w:rsidP="00B14EB6">
      <w:pPr>
        <w:widowControl w:val="0"/>
        <w:numPr>
          <w:ilvl w:val="1"/>
          <w:numId w:val="4"/>
        </w:numPr>
        <w:tabs>
          <w:tab w:val="clear" w:pos="1440"/>
          <w:tab w:val="num" w:pos="719"/>
        </w:tabs>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The Recovery Agents engaged by the Bank will be required to follow a code of conduct covering their dealings with you. </w:t>
      </w:r>
    </w:p>
    <w:p w:rsidR="00841286" w:rsidRDefault="00841286" w:rsidP="00B14EB6">
      <w:pPr>
        <w:widowControl w:val="0"/>
        <w:autoSpaceDE w:val="0"/>
        <w:autoSpaceDN w:val="0"/>
        <w:adjustRightInd w:val="0"/>
        <w:spacing w:after="0" w:line="240" w:lineRule="auto"/>
        <w:rPr>
          <w:rFonts w:ascii="Times New Roman" w:hAnsi="Times New Roman"/>
          <w:sz w:val="24"/>
          <w:szCs w:val="24"/>
        </w:rPr>
      </w:pPr>
    </w:p>
    <w:p w:rsidR="00841286" w:rsidRDefault="00461B01" w:rsidP="00B14EB6">
      <w:pPr>
        <w:widowControl w:val="0"/>
        <w:autoSpaceDE w:val="0"/>
        <w:autoSpaceDN w:val="0"/>
        <w:adjustRightInd w:val="0"/>
        <w:spacing w:after="0" w:line="240" w:lineRule="auto"/>
        <w:ind w:left="3600"/>
        <w:rPr>
          <w:rFonts w:ascii="Times New Roman" w:hAnsi="Times New Roman"/>
          <w:sz w:val="24"/>
          <w:szCs w:val="24"/>
        </w:rPr>
      </w:pPr>
      <w:r>
        <w:rPr>
          <w:rFonts w:ascii="Arial" w:hAnsi="Arial" w:cs="Arial"/>
          <w:sz w:val="24"/>
          <w:szCs w:val="24"/>
        </w:rPr>
        <w:t>++++++++++++++++++</w:t>
      </w:r>
    </w:p>
    <w:p w:rsidR="00841286" w:rsidRDefault="00841286" w:rsidP="00B14EB6">
      <w:pPr>
        <w:widowControl w:val="0"/>
        <w:autoSpaceDE w:val="0"/>
        <w:autoSpaceDN w:val="0"/>
        <w:adjustRightInd w:val="0"/>
        <w:spacing w:after="0" w:line="240" w:lineRule="auto"/>
        <w:rPr>
          <w:rFonts w:ascii="Times New Roman" w:hAnsi="Times New Roman"/>
          <w:sz w:val="24"/>
          <w:szCs w:val="24"/>
        </w:rPr>
      </w:pPr>
    </w:p>
    <w:sectPr w:rsidR="00841286" w:rsidSect="007A7C22">
      <w:pgSz w:w="12240" w:h="15840"/>
      <w:pgMar w:top="923" w:right="1440" w:bottom="1440" w:left="1800" w:header="720" w:footer="720" w:gutter="0"/>
      <w:cols w:space="720" w:equalWidth="0">
        <w:col w:w="9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5"/>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6"/>
      <w:numFmt w:val="decimal"/>
      <w:lvlText w:val="%1."/>
      <w:lvlJc w:val="left"/>
      <w:pPr>
        <w:tabs>
          <w:tab w:val="num" w:pos="720"/>
        </w:tabs>
        <w:ind w:left="720" w:hanging="360"/>
      </w:pPr>
    </w:lvl>
    <w:lvl w:ilvl="1" w:tplc="000001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952"/>
    <w:multiLevelType w:val="hybridMultilevel"/>
    <w:tmpl w:val="00005F90"/>
    <w:lvl w:ilvl="0" w:tplc="00001649">
      <w:start w:val="3"/>
      <w:numFmt w:val="decimal"/>
      <w:lvlText w:val="%1."/>
      <w:lvlJc w:val="left"/>
      <w:pPr>
        <w:tabs>
          <w:tab w:val="num" w:pos="720"/>
        </w:tabs>
        <w:ind w:left="720" w:hanging="360"/>
      </w:pPr>
    </w:lvl>
    <w:lvl w:ilvl="1" w:tplc="00006DF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B01"/>
    <w:rsid w:val="002B1BFC"/>
    <w:rsid w:val="00461B01"/>
    <w:rsid w:val="00494AED"/>
    <w:rsid w:val="004A3085"/>
    <w:rsid w:val="005B0539"/>
    <w:rsid w:val="007A7C22"/>
    <w:rsid w:val="00841286"/>
    <w:rsid w:val="008C7D88"/>
    <w:rsid w:val="009063F8"/>
    <w:rsid w:val="00B14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4F1E-10C9-4560-9924-39AAA585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hcl</cp:lastModifiedBy>
  <cp:revision>8</cp:revision>
  <cp:lastPrinted>2015-07-08T09:13:00Z</cp:lastPrinted>
  <dcterms:created xsi:type="dcterms:W3CDTF">2015-04-23T11:25:00Z</dcterms:created>
  <dcterms:modified xsi:type="dcterms:W3CDTF">2017-02-14T05:55:00Z</dcterms:modified>
</cp:coreProperties>
</file>